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53"/>
        <w:ind w:left="2235"/>
      </w:pPr>
      <w:r>
        <w:rPr>
          <w:rFonts w:ascii="Times New Roman" w:eastAsia="Times New Roman"/>
        </w:rPr>
        <w:t>114 </w:t>
      </w:r>
      <w:r>
        <w:rPr/>
        <w:t>學年度分科測驗試題研討暨試務宣導會議</w:t>
      </w:r>
    </w:p>
    <w:p>
      <w:pPr>
        <w:pStyle w:val="BodyText"/>
        <w:spacing w:before="222"/>
        <w:ind w:left="113"/>
      </w:pPr>
      <w:r>
        <w:rPr/>
        <w:t>一、會議目的：</w:t>
      </w:r>
    </w:p>
    <w:p>
      <w:pPr>
        <w:pStyle w:val="BodyText"/>
        <w:spacing w:line="256" w:lineRule="auto" w:before="60"/>
        <w:ind w:left="593" w:right="168" w:firstLine="472"/>
        <w:jc w:val="both"/>
      </w:pPr>
      <w:r>
        <w:rPr>
          <w:spacing w:val="-16"/>
        </w:rPr>
        <w:t>為確實檢討分科測驗試題，並將意見回饋至命題流程，每年試後各學科除了進行試題分析工作之外，也藉由舉辦試題研討會，廣泛蒐集高中教師對該年度試題的意見，以彙整提供</w:t>
      </w:r>
      <w:r>
        <w:rPr>
          <w:spacing w:val="-10"/>
        </w:rPr>
        <w:t>給隔年命題團隊，期能對未來的命題有所助益。</w:t>
      </w:r>
    </w:p>
    <w:p>
      <w:pPr>
        <w:pStyle w:val="BodyText"/>
        <w:spacing w:line="256" w:lineRule="auto" w:before="39"/>
        <w:ind w:left="593" w:right="110" w:firstLine="480"/>
        <w:jc w:val="both"/>
      </w:pPr>
      <w:r>
        <w:rPr>
          <w:spacing w:val="-7"/>
        </w:rPr>
        <w:t>本年度之試題研討會將結合試務宣導，會議除針對 </w:t>
      </w:r>
      <w:r>
        <w:rPr>
          <w:rFonts w:ascii="Times New Roman" w:eastAsia="Times New Roman"/>
          <w:spacing w:val="-4"/>
        </w:rPr>
        <w:t>114 </w:t>
      </w:r>
      <w:r>
        <w:rPr/>
        <w:t>年分科測驗試題進行分析報告之外，亦將納入試務介紹。希望透過本次會議，進行高中教學現場意見蒐集及試務宣導。</w:t>
      </w:r>
    </w:p>
    <w:p>
      <w:pPr>
        <w:pStyle w:val="BodyText"/>
        <w:spacing w:before="69"/>
        <w:ind w:left="113"/>
      </w:pPr>
      <w:r>
        <w:rPr/>
        <w:t>二、討論議題：</w:t>
      </w:r>
    </w:p>
    <w:p>
      <w:pPr>
        <w:pStyle w:val="BodyText"/>
      </w:pPr>
      <w:r>
        <w:rPr/>
        <w:t>（一）整體的難易度分布是否適切？</w:t>
      </w:r>
    </w:p>
    <w:p>
      <w:pPr>
        <w:pStyle w:val="BodyText"/>
        <w:spacing w:before="25"/>
      </w:pPr>
      <w:r>
        <w:rPr/>
        <w:t>（二）整體的鑑別度是否合宜？</w:t>
      </w:r>
    </w:p>
    <w:p>
      <w:pPr>
        <w:pStyle w:val="BodyText"/>
      </w:pPr>
      <w:r>
        <w:rPr/>
        <w:t>（三）選擇題試題的優缺點為何？</w:t>
      </w:r>
    </w:p>
    <w:p>
      <w:pPr>
        <w:pStyle w:val="BodyText"/>
        <w:spacing w:before="25"/>
      </w:pPr>
      <w:r>
        <w:rPr/>
        <w:t>（四）混合題組或非選擇題之試題的優缺點為何？</w:t>
      </w:r>
    </w:p>
    <w:p>
      <w:pPr>
        <w:pStyle w:val="BodyText"/>
      </w:pPr>
      <w:r>
        <w:rPr/>
        <w:t>（五）對素養導向試題的看法</w:t>
      </w:r>
    </w:p>
    <w:p>
      <w:pPr>
        <w:pStyle w:val="BodyText"/>
      </w:pPr>
      <w:r>
        <w:rPr/>
        <w:t>（六）對未來命題的建議</w:t>
      </w:r>
    </w:p>
    <w:p>
      <w:pPr>
        <w:pStyle w:val="BodyText"/>
        <w:spacing w:before="25"/>
      </w:pPr>
      <w:r>
        <w:rPr/>
        <w:t>（七）對未來試務的建議</w:t>
      </w:r>
    </w:p>
    <w:p>
      <w:pPr>
        <w:pStyle w:val="BodyText"/>
        <w:spacing w:before="115"/>
        <w:ind w:left="113"/>
      </w:pPr>
      <w:r>
        <w:rPr/>
        <w:t>三、議事規劃：</w:t>
      </w:r>
    </w:p>
    <w:p>
      <w:pPr>
        <w:pStyle w:val="BodyText"/>
        <w:spacing w:before="22"/>
      </w:pPr>
      <w:r>
        <w:rPr/>
        <w:t>（一）會議日期：民國 </w:t>
      </w:r>
      <w:r>
        <w:rPr>
          <w:rFonts w:ascii="Times New Roman" w:eastAsia="Times New Roman"/>
        </w:rPr>
        <w:t>114 </w:t>
      </w:r>
      <w:r>
        <w:rPr/>
        <w:t>年 </w:t>
      </w:r>
      <w:r>
        <w:rPr>
          <w:rFonts w:ascii="Times New Roman" w:eastAsia="Times New Roman"/>
        </w:rPr>
        <w:t>9 </w:t>
      </w:r>
      <w:r>
        <w:rPr/>
        <w:t>月 </w:t>
      </w:r>
      <w:r>
        <w:rPr>
          <w:rFonts w:ascii="Times New Roman" w:eastAsia="Times New Roman"/>
        </w:rPr>
        <w:t>22 </w:t>
      </w:r>
      <w:r>
        <w:rPr/>
        <w:t>日至 </w:t>
      </w:r>
      <w:r>
        <w:rPr>
          <w:rFonts w:ascii="Times New Roman" w:eastAsia="Times New Roman"/>
        </w:rPr>
        <w:t>9 </w:t>
      </w:r>
      <w:r>
        <w:rPr/>
        <w:t>月 </w:t>
      </w:r>
      <w:r>
        <w:rPr>
          <w:rFonts w:ascii="Times New Roman" w:eastAsia="Times New Roman"/>
        </w:rPr>
        <w:t>26 </w:t>
      </w:r>
      <w:r>
        <w:rPr/>
        <w:t>日</w:t>
      </w:r>
    </w:p>
    <w:p>
      <w:pPr>
        <w:pStyle w:val="BodyText"/>
        <w:spacing w:before="25"/>
      </w:pPr>
      <w:r>
        <w:rPr/>
        <w:t>（二）會議地點：大學入學考試中心（臺北市大安區舟山路 </w:t>
      </w:r>
      <w:r>
        <w:rPr>
          <w:rFonts w:ascii="Times New Roman" w:eastAsia="Times New Roman"/>
        </w:rPr>
        <w:t>237 </w:t>
      </w:r>
      <w:r>
        <w:rPr/>
        <w:t>號）</w:t>
      </w:r>
    </w:p>
    <w:p>
      <w:pPr>
        <w:pStyle w:val="BodyText"/>
        <w:spacing w:after="13"/>
      </w:pPr>
      <w:r>
        <w:rPr/>
        <w:pict>
          <v:line style="position:absolute;mso-position-horizontal-relative:page;mso-position-vertical-relative:paragraph;z-index:-4864" from="106.919998pt,20.159988pt" to="191.879998pt,51.239988pt" stroked="true" strokeweight=".48pt" strokecolor="#000000">
            <v:stroke dashstyle="solid"/>
            <w10:wrap type="none"/>
          </v:line>
        </w:pict>
      </w:r>
      <w:r>
        <w:rPr/>
        <w:t>（三）會議場次：</w:t>
      </w:r>
    </w:p>
    <w:tbl>
      <w:tblPr>
        <w:tblW w:w="0" w:type="auto"/>
        <w:jc w:val="left"/>
        <w:tblInd w:w="1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1737"/>
        <w:gridCol w:w="1737"/>
        <w:gridCol w:w="1735"/>
        <w:gridCol w:w="1737"/>
      </w:tblGrid>
      <w:tr>
        <w:trPr>
          <w:trHeight w:val="625" w:hRule="atLeast"/>
        </w:trPr>
        <w:tc>
          <w:tcPr>
            <w:tcW w:w="1699" w:type="dxa"/>
          </w:tcPr>
          <w:p>
            <w:pPr>
              <w:pStyle w:val="TableParagraph"/>
              <w:spacing w:line="314" w:lineRule="exact"/>
              <w:ind w:left="1110"/>
              <w:jc w:val="lef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時間</w:t>
            </w:r>
          </w:p>
          <w:p>
            <w:pPr>
              <w:pStyle w:val="TableParagraph"/>
              <w:spacing w:line="292" w:lineRule="exact"/>
              <w:ind w:left="105"/>
              <w:jc w:val="lef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地點</w:t>
            </w:r>
          </w:p>
        </w:tc>
        <w:tc>
          <w:tcPr>
            <w:tcW w:w="1737" w:type="dxa"/>
          </w:tcPr>
          <w:p>
            <w:pPr>
              <w:pStyle w:val="TableParagraph"/>
              <w:spacing w:before="145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9/22(</w:t>
            </w:r>
            <w:r>
              <w:rPr>
                <w:rFonts w:ascii="標楷體" w:eastAsia="標楷體" w:hint="eastAsia"/>
                <w:sz w:val="24"/>
              </w:rPr>
              <w:t>一</w:t>
            </w:r>
            <w:r>
              <w:rPr>
                <w:sz w:val="24"/>
              </w:rPr>
              <w:t>)</w:t>
            </w:r>
          </w:p>
        </w:tc>
        <w:tc>
          <w:tcPr>
            <w:tcW w:w="1737" w:type="dxa"/>
          </w:tcPr>
          <w:p>
            <w:pPr>
              <w:pStyle w:val="TableParagraph"/>
              <w:spacing w:before="145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9/23(</w:t>
            </w:r>
            <w:r>
              <w:rPr>
                <w:rFonts w:ascii="標楷體" w:eastAsia="標楷體" w:hint="eastAsia"/>
                <w:sz w:val="24"/>
              </w:rPr>
              <w:t>二</w:t>
            </w:r>
            <w:r>
              <w:rPr>
                <w:sz w:val="24"/>
              </w:rPr>
              <w:t>)</w:t>
            </w:r>
          </w:p>
        </w:tc>
        <w:tc>
          <w:tcPr>
            <w:tcW w:w="1735" w:type="dxa"/>
          </w:tcPr>
          <w:p>
            <w:pPr>
              <w:pStyle w:val="TableParagraph"/>
              <w:spacing w:before="145"/>
              <w:ind w:left="124" w:right="99"/>
              <w:rPr>
                <w:sz w:val="24"/>
              </w:rPr>
            </w:pPr>
            <w:r>
              <w:rPr>
                <w:sz w:val="24"/>
              </w:rPr>
              <w:t>9/24(</w:t>
            </w:r>
            <w:r>
              <w:rPr>
                <w:rFonts w:ascii="標楷體" w:eastAsia="標楷體" w:hint="eastAsia"/>
                <w:sz w:val="24"/>
              </w:rPr>
              <w:t>三</w:t>
            </w:r>
            <w:r>
              <w:rPr>
                <w:sz w:val="24"/>
              </w:rPr>
              <w:t>)</w:t>
            </w:r>
          </w:p>
        </w:tc>
        <w:tc>
          <w:tcPr>
            <w:tcW w:w="1737" w:type="dxa"/>
          </w:tcPr>
          <w:p>
            <w:pPr>
              <w:pStyle w:val="TableParagraph"/>
              <w:spacing w:before="145"/>
              <w:ind w:left="436" w:right="403"/>
              <w:rPr>
                <w:sz w:val="24"/>
              </w:rPr>
            </w:pPr>
            <w:r>
              <w:rPr>
                <w:sz w:val="24"/>
              </w:rPr>
              <w:t>9/26(</w:t>
            </w:r>
            <w:r>
              <w:rPr>
                <w:rFonts w:ascii="標楷體" w:eastAsia="標楷體" w:hint="eastAsia"/>
                <w:sz w:val="24"/>
              </w:rPr>
              <w:t>五</w:t>
            </w:r>
            <w:r>
              <w:rPr>
                <w:sz w:val="24"/>
              </w:rPr>
              <w:t>)</w:t>
            </w:r>
          </w:p>
        </w:tc>
      </w:tr>
      <w:tr>
        <w:trPr>
          <w:trHeight w:val="428" w:hRule="atLeast"/>
        </w:trPr>
        <w:tc>
          <w:tcPr>
            <w:tcW w:w="1699" w:type="dxa"/>
          </w:tcPr>
          <w:p>
            <w:pPr>
              <w:pStyle w:val="TableParagraph"/>
              <w:spacing w:before="47"/>
              <w:ind w:left="226" w:right="202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文昌廳</w:t>
            </w:r>
          </w:p>
        </w:tc>
        <w:tc>
          <w:tcPr>
            <w:tcW w:w="1737" w:type="dxa"/>
          </w:tcPr>
          <w:p>
            <w:pPr>
              <w:pStyle w:val="TableParagraph"/>
              <w:spacing w:before="47"/>
              <w:ind w:left="505"/>
              <w:jc w:val="lef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生物科</w:t>
            </w:r>
          </w:p>
        </w:tc>
        <w:tc>
          <w:tcPr>
            <w:tcW w:w="1737" w:type="dxa"/>
          </w:tcPr>
          <w:p>
            <w:pPr>
              <w:pStyle w:val="TableParagraph"/>
              <w:spacing w:before="47"/>
              <w:ind w:left="0" w:right="478"/>
              <w:jc w:val="righ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化學科</w:t>
            </w:r>
          </w:p>
        </w:tc>
        <w:tc>
          <w:tcPr>
            <w:tcW w:w="1735" w:type="dxa"/>
          </w:tcPr>
          <w:p>
            <w:pPr>
              <w:pStyle w:val="TableParagraph"/>
              <w:spacing w:before="47"/>
              <w:ind w:left="124" w:right="100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歷史科</w:t>
            </w:r>
          </w:p>
        </w:tc>
        <w:tc>
          <w:tcPr>
            <w:tcW w:w="1737" w:type="dxa"/>
          </w:tcPr>
          <w:p>
            <w:pPr>
              <w:pStyle w:val="TableParagraph"/>
              <w:spacing w:before="47"/>
              <w:ind w:left="435" w:right="403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物理科</w:t>
            </w:r>
          </w:p>
        </w:tc>
      </w:tr>
      <w:tr>
        <w:trPr>
          <w:trHeight w:val="425" w:hRule="atLeast"/>
        </w:trPr>
        <w:tc>
          <w:tcPr>
            <w:tcW w:w="1699" w:type="dxa"/>
          </w:tcPr>
          <w:p>
            <w:pPr>
              <w:pStyle w:val="TableParagraph"/>
              <w:spacing w:before="45"/>
              <w:ind w:left="226" w:right="202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第一會議室</w:t>
            </w:r>
          </w:p>
        </w:tc>
        <w:tc>
          <w:tcPr>
            <w:tcW w:w="1737" w:type="dxa"/>
          </w:tcPr>
          <w:p>
            <w:pPr>
              <w:pStyle w:val="TableParagraph"/>
              <w:spacing w:before="11"/>
              <w:ind w:left="505"/>
              <w:jc w:val="lef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數學科</w:t>
            </w:r>
          </w:p>
        </w:tc>
        <w:tc>
          <w:tcPr>
            <w:tcW w:w="1737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spacing w:before="11"/>
              <w:ind w:left="124" w:right="100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公民與社會科</w:t>
            </w:r>
          </w:p>
        </w:tc>
        <w:tc>
          <w:tcPr>
            <w:tcW w:w="1737" w:type="dxa"/>
          </w:tcPr>
          <w:p>
            <w:pPr>
              <w:pStyle w:val="TableParagraph"/>
              <w:spacing w:before="11"/>
              <w:ind w:left="435" w:right="403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地理科</w:t>
            </w:r>
          </w:p>
        </w:tc>
      </w:tr>
    </w:tbl>
    <w:p>
      <w:pPr>
        <w:pStyle w:val="BodyText"/>
        <w:spacing w:before="103"/>
      </w:pPr>
      <w:r>
        <w:rPr/>
        <w:pict>
          <v:line style="position:absolute;mso-position-horizontal-relative:page;mso-position-vertical-relative:paragraph;z-index:-4840" from="278.760010pt,-22.689993pt" to="365.64001pt,-1.569993pt" stroked="true" strokeweight=".48pt" strokecolor="#000000">
            <v:stroke dashstyle="solid"/>
            <w10:wrap type="none"/>
          </v:line>
        </w:pict>
      </w:r>
      <w:r>
        <w:rPr/>
        <w:t>（四）</w:t>
      </w:r>
      <w:r>
        <w:rPr>
          <w:spacing w:val="-24"/>
        </w:rPr>
        <w:t>會議議程：</w:t>
      </w:r>
      <w:r>
        <w:rPr/>
        <w:t>（採分科進行，各科依彈性調整）</w:t>
      </w:r>
    </w:p>
    <w:p>
      <w:pPr>
        <w:pStyle w:val="BodyText"/>
        <w:spacing w:before="3"/>
        <w:ind w:left="0"/>
        <w:rPr>
          <w:sz w:val="7"/>
        </w:rPr>
      </w:pPr>
    </w:p>
    <w:tbl>
      <w:tblPr>
        <w:tblW w:w="0" w:type="auto"/>
        <w:jc w:val="left"/>
        <w:tblInd w:w="1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8"/>
        <w:gridCol w:w="4116"/>
      </w:tblGrid>
      <w:tr>
        <w:trPr>
          <w:trHeight w:val="442" w:hRule="atLeast"/>
        </w:trPr>
        <w:tc>
          <w:tcPr>
            <w:tcW w:w="2738" w:type="dxa"/>
            <w:tcBorders>
              <w:bottom w:val="double" w:sz="1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59"/>
              <w:ind w:left="661" w:right="640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時間</w:t>
            </w:r>
          </w:p>
        </w:tc>
        <w:tc>
          <w:tcPr>
            <w:tcW w:w="4116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DFDFDF"/>
          </w:tcPr>
          <w:p>
            <w:pPr>
              <w:pStyle w:val="TableParagraph"/>
              <w:spacing w:before="59"/>
              <w:ind w:right="247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議程內容</w:t>
            </w:r>
          </w:p>
        </w:tc>
      </w:tr>
      <w:tr>
        <w:trPr>
          <w:trHeight w:val="462" w:hRule="atLeast"/>
        </w:trPr>
        <w:tc>
          <w:tcPr>
            <w:tcW w:w="2738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652" w:right="652"/>
              <w:rPr>
                <w:sz w:val="24"/>
              </w:rPr>
            </w:pPr>
            <w:r>
              <w:rPr>
                <w:sz w:val="24"/>
              </w:rPr>
              <w:t>13:00-13:30</w:t>
            </w:r>
          </w:p>
        </w:tc>
        <w:tc>
          <w:tcPr>
            <w:tcW w:w="41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247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報到</w:t>
            </w:r>
          </w:p>
        </w:tc>
      </w:tr>
      <w:tr>
        <w:trPr>
          <w:trHeight w:val="453" w:hRule="atLeast"/>
        </w:trPr>
        <w:tc>
          <w:tcPr>
            <w:tcW w:w="2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52" w:right="652"/>
              <w:rPr>
                <w:sz w:val="24"/>
              </w:rPr>
            </w:pPr>
            <w:r>
              <w:rPr>
                <w:spacing w:val="13"/>
                <w:sz w:val="24"/>
              </w:rPr>
              <w:t>13:30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5"/>
                <w:sz w:val="24"/>
              </w:rPr>
              <w:t>-13:40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right="247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主持人開場</w:t>
            </w:r>
          </w:p>
        </w:tc>
      </w:tr>
      <w:tr>
        <w:trPr>
          <w:trHeight w:val="623" w:hRule="atLeast"/>
        </w:trPr>
        <w:tc>
          <w:tcPr>
            <w:tcW w:w="2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652" w:right="652"/>
              <w:rPr>
                <w:sz w:val="24"/>
              </w:rPr>
            </w:pPr>
            <w:r>
              <w:rPr>
                <w:spacing w:val="13"/>
                <w:sz w:val="24"/>
              </w:rPr>
              <w:t>13:40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5"/>
                <w:sz w:val="24"/>
              </w:rPr>
              <w:t>-14:40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2" w:lineRule="exact"/>
              <w:ind w:right="247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試題分析報告</w:t>
            </w:r>
          </w:p>
          <w:p>
            <w:pPr>
              <w:pStyle w:val="TableParagraph"/>
              <w:spacing w:line="292" w:lineRule="exact"/>
              <w:ind w:right="296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（ 含非選擇題與非選評分標準） </w:t>
            </w:r>
          </w:p>
        </w:tc>
      </w:tr>
      <w:tr>
        <w:trPr>
          <w:trHeight w:val="450" w:hRule="atLeast"/>
        </w:trPr>
        <w:tc>
          <w:tcPr>
            <w:tcW w:w="2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52" w:right="652"/>
              <w:rPr>
                <w:sz w:val="24"/>
              </w:rPr>
            </w:pPr>
            <w:r>
              <w:rPr>
                <w:spacing w:val="13"/>
                <w:sz w:val="24"/>
              </w:rPr>
              <w:t>14:40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5"/>
                <w:sz w:val="24"/>
              </w:rPr>
              <w:t>-15:00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right="276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休息</w:t>
            </w:r>
          </w:p>
        </w:tc>
      </w:tr>
      <w:tr>
        <w:trPr>
          <w:trHeight w:val="453" w:hRule="atLeast"/>
        </w:trPr>
        <w:tc>
          <w:tcPr>
            <w:tcW w:w="2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61" w:right="642"/>
              <w:rPr>
                <w:sz w:val="24"/>
              </w:rPr>
            </w:pPr>
            <w:r>
              <w:rPr>
                <w:spacing w:val="13"/>
                <w:sz w:val="24"/>
              </w:rPr>
              <w:t>15:00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5"/>
                <w:sz w:val="24"/>
              </w:rPr>
              <w:t>-16:30</w:t>
            </w:r>
            <w:r>
              <w:rPr>
                <w:spacing w:val="-39"/>
                <w:sz w:val="24"/>
              </w:rPr>
              <w:t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right="245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綜合討論</w:t>
            </w:r>
          </w:p>
        </w:tc>
      </w:tr>
      <w:tr>
        <w:trPr>
          <w:trHeight w:val="450" w:hRule="atLeast"/>
        </w:trPr>
        <w:tc>
          <w:tcPr>
            <w:tcW w:w="27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61" w:right="645"/>
              <w:rPr>
                <w:sz w:val="24"/>
              </w:rPr>
            </w:pPr>
            <w:r>
              <w:rPr>
                <w:sz w:val="24"/>
              </w:rPr>
              <w:t>16:30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7"/>
              <w:ind w:right="247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賦歸</w:t>
            </w:r>
          </w:p>
        </w:tc>
      </w:tr>
    </w:tbl>
    <w:p>
      <w:pPr>
        <w:spacing w:after="0"/>
        <w:rPr>
          <w:rFonts w:ascii="標楷體" w:eastAsia="標楷體" w:hint="eastAsia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891" w:footer="1012" w:top="1220" w:bottom="1200" w:left="880" w:right="960"/>
          <w:pgNumType w:start="1"/>
        </w:sectPr>
      </w:pPr>
    </w:p>
    <w:p>
      <w:pPr>
        <w:pStyle w:val="BodyText"/>
        <w:spacing w:before="42"/>
        <w:ind w:left="113"/>
      </w:pPr>
      <w:r>
        <w:rPr/>
        <w:t>四、注意事項</w:t>
      </w:r>
    </w:p>
    <w:p>
      <w:pPr>
        <w:pStyle w:val="BodyText"/>
        <w:spacing w:line="271" w:lineRule="auto" w:before="94"/>
        <w:ind w:left="1013" w:right="168" w:hanging="720"/>
        <w:jc w:val="both"/>
      </w:pPr>
      <w:r>
        <w:rPr/>
        <w:t>（一</w:t>
      </w:r>
      <w:r>
        <w:rPr>
          <w:spacing w:val="-48"/>
        </w:rPr>
        <w:t>）</w:t>
      </w:r>
      <w:r>
        <w:rPr>
          <w:spacing w:val="-5"/>
        </w:rPr>
        <w:t>本次會議一律採網路報名</w:t>
      </w:r>
      <w:r>
        <w:rPr/>
        <w:t>（</w:t>
      </w:r>
      <w:r>
        <w:rPr>
          <w:spacing w:val="-7"/>
        </w:rPr>
        <w:t>請至大考中心首頁 </w:t>
      </w:r>
      <w:hyperlink r:id="rId7">
        <w:r>
          <w:rPr>
            <w:rFonts w:ascii="Times New Roman" w:eastAsia="Times New Roman"/>
            <w:color w:val="0000FF"/>
            <w:u w:val="single" w:color="0000FF"/>
          </w:rPr>
          <w:t>https://</w:t>
        </w:r>
        <w:r>
          <w:rPr>
            <w:rFonts w:ascii="Times New Roman" w:eastAsia="Times New Roman"/>
            <w:color w:val="0000FF"/>
            <w:spacing w:val="-1"/>
            <w:u w:val="single" w:color="0000FF"/>
          </w:rPr>
          <w:t>ww</w:t>
        </w:r>
        <w:r>
          <w:rPr>
            <w:rFonts w:ascii="Times New Roman" w:eastAsia="Times New Roman"/>
            <w:color w:val="0000FF"/>
            <w:spacing w:val="-15"/>
            <w:u w:val="single" w:color="0000FF"/>
          </w:rPr>
          <w:t>w</w:t>
        </w:r>
        <w:r>
          <w:rPr>
            <w:rFonts w:ascii="Times New Roman" w:eastAsia="Times New Roman"/>
            <w:color w:val="0000FF"/>
            <w:u w:val="single" w:color="0000FF"/>
          </w:rPr>
          <w:t>.</w:t>
        </w:r>
        <w:r>
          <w:rPr>
            <w:rFonts w:ascii="Times New Roman" w:eastAsia="Times New Roman"/>
            <w:color w:val="0000FF"/>
            <w:spacing w:val="-1"/>
            <w:u w:val="single" w:color="0000FF"/>
          </w:rPr>
          <w:t>cee</w:t>
        </w:r>
        <w:r>
          <w:rPr>
            <w:rFonts w:ascii="Times New Roman" w:eastAsia="Times New Roman"/>
            <w:color w:val="0000FF"/>
            <w:spacing w:val="0"/>
            <w:u w:val="single" w:color="0000FF"/>
          </w:rPr>
          <w:t>c</w:t>
        </w:r>
        <w:r>
          <w:rPr>
            <w:rFonts w:ascii="Times New Roman" w:eastAsia="Times New Roman"/>
            <w:color w:val="0000FF"/>
            <w:u w:val="single" w:color="0000FF"/>
          </w:rPr>
          <w:t>.</w:t>
        </w:r>
        <w:r>
          <w:rPr>
            <w:rFonts w:ascii="Times New Roman" w:eastAsia="Times New Roman"/>
            <w:color w:val="0000FF"/>
            <w:spacing w:val="-1"/>
            <w:u w:val="single" w:color="0000FF"/>
          </w:rPr>
          <w:t>e</w:t>
        </w:r>
        <w:r>
          <w:rPr>
            <w:rFonts w:ascii="Times New Roman" w:eastAsia="Times New Roman"/>
            <w:color w:val="0000FF"/>
            <w:u w:val="single" w:color="0000FF"/>
          </w:rPr>
          <w:t>du.t</w:t>
        </w:r>
        <w:r>
          <w:rPr>
            <w:rFonts w:ascii="Times New Roman" w:eastAsia="Times New Roman"/>
            <w:color w:val="0000FF"/>
            <w:spacing w:val="-25"/>
            <w:u w:val="single" w:color="0000FF"/>
          </w:rPr>
          <w:t>w</w:t>
        </w:r>
      </w:hyperlink>
      <w:r>
        <w:rPr>
          <w:spacing w:val="-20"/>
        </w:rPr>
        <w:t>，【宣導與研習】</w:t>
      </w:r>
      <w:r>
        <w:rPr>
          <w:spacing w:val="-5"/>
        </w:rPr>
        <w:t>的【研習訊息】中【</w:t>
      </w:r>
      <w:r>
        <w:rPr>
          <w:rFonts w:ascii="Times New Roman" w:eastAsia="Times New Roman"/>
          <w:spacing w:val="-4"/>
        </w:rPr>
        <w:t>114 </w:t>
      </w:r>
      <w:r>
        <w:rPr>
          <w:spacing w:val="-1"/>
        </w:rPr>
        <w:t>學年度分科測驗試題研討暨試務宣導會議】進行報名</w:t>
      </w:r>
      <w:r>
        <w:rPr>
          <w:spacing w:val="-125"/>
        </w:rPr>
        <w:t>）</w:t>
      </w:r>
      <w:r>
        <w:rPr>
          <w:spacing w:val="-2"/>
        </w:rPr>
        <w:t>。各場次採各校各科自由報名，依報名先後順序額滿為止。</w:t>
      </w:r>
    </w:p>
    <w:p>
      <w:pPr>
        <w:pStyle w:val="BodyText"/>
        <w:spacing w:line="271" w:lineRule="auto" w:before="74"/>
        <w:ind w:left="1013" w:right="171" w:hanging="720"/>
        <w:jc w:val="both"/>
      </w:pPr>
      <w:r>
        <w:rPr/>
        <w:t>（二）本次會議資料</w:t>
      </w: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>114 </w:t>
      </w:r>
      <w:r>
        <w:rPr/>
        <w:t>分科測驗試題、答題卷暨答對率及鑑別度）請至本中心報名網頁</w:t>
      </w:r>
      <w:r>
        <w:rPr>
          <w:rFonts w:ascii="Times New Roman" w:eastAsia="Times New Roman"/>
        </w:rPr>
        <w:t>/ </w:t>
      </w:r>
      <w:r>
        <w:rPr/>
        <w:t>資料下載區瀏覽。</w:t>
      </w:r>
    </w:p>
    <w:p>
      <w:pPr>
        <w:pStyle w:val="BodyText"/>
        <w:spacing w:line="273" w:lineRule="auto" w:before="72"/>
        <w:ind w:left="1013" w:right="170" w:hanging="720"/>
        <w:jc w:val="both"/>
      </w:pPr>
      <w:r>
        <w:rPr/>
        <w:t>（三）本次會議將提供研習時數，報名前請確認是否已於「全國教師在職進修資訊網」申請個人帳號，以利順利匯入研習時數。</w:t>
      </w:r>
    </w:p>
    <w:p>
      <w:pPr>
        <w:pStyle w:val="BodyText"/>
        <w:spacing w:line="271" w:lineRule="auto" w:before="68"/>
        <w:ind w:left="1013" w:right="173" w:hanging="720"/>
        <w:jc w:val="both"/>
      </w:pPr>
      <w:r>
        <w:rPr/>
        <w:t>（四）</w:t>
      </w:r>
      <w:r>
        <w:rPr>
          <w:spacing w:val="-8"/>
        </w:rPr>
        <w:t>報名成功後，系統將自動回覆報名成功信函，可至報名活動場次之【名單】查詢。若有疑問請洽</w:t>
      </w:r>
      <w:r>
        <w:rPr>
          <w:rFonts w:ascii="Times New Roman" w:eastAsia="Times New Roman"/>
          <w:spacing w:val="-8"/>
        </w:rPr>
        <w:t>(02)23661416 </w:t>
      </w:r>
      <w:r>
        <w:rPr>
          <w:spacing w:val="-21"/>
        </w:rPr>
        <w:t>轉分機 </w:t>
      </w:r>
      <w:r>
        <w:rPr>
          <w:rFonts w:ascii="Times New Roman" w:eastAsia="Times New Roman"/>
        </w:rPr>
        <w:t>238 </w:t>
      </w:r>
      <w:r>
        <w:rPr/>
        <w:t>邵小姐。</w:t>
      </w:r>
    </w:p>
    <w:p>
      <w:pPr>
        <w:pStyle w:val="BodyText"/>
        <w:spacing w:line="271" w:lineRule="auto" w:before="74"/>
        <w:ind w:left="1013" w:right="170" w:hanging="720"/>
        <w:jc w:val="both"/>
      </w:pPr>
      <w:r>
        <w:rPr/>
        <w:t>（五）</w:t>
      </w:r>
      <w:r>
        <w:rPr>
          <w:spacing w:val="-18"/>
        </w:rPr>
        <w:t>若要取消報名，請至【宣導與研習】的【研習活動】頁面之右上角點選【取消報名】， 填入報名成功信函內的【取消報名代碼】後，即可取消該場次的報名活動。</w:t>
      </w:r>
    </w:p>
    <w:p>
      <w:pPr>
        <w:pStyle w:val="BodyText"/>
        <w:spacing w:before="72"/>
        <w:ind w:left="293"/>
      </w:pPr>
      <w:r>
        <w:rPr/>
        <w:t>（六）請採用大眾運輸工具前往會議場地，響應環保請自備水杯。</w:t>
      </w:r>
    </w:p>
    <w:p>
      <w:pPr>
        <w:pStyle w:val="BodyText"/>
        <w:spacing w:line="271" w:lineRule="auto" w:before="118"/>
        <w:ind w:left="1013" w:right="170" w:hanging="720"/>
        <w:jc w:val="both"/>
      </w:pPr>
      <w:r>
        <w:rPr/>
        <w:t>（七）與會人員研討會當日若有發燒或有呼吸道症狀，請視身體狀況決定是否與會，若出席會議建議全程配戴口罩，並落實個人衛生防護。</w:t>
      </w:r>
    </w:p>
    <w:sectPr>
      <w:pgSz w:w="11910" w:h="16840"/>
      <w:pgMar w:header="891" w:footer="1012" w:top="1220" w:bottom="1200" w:left="8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89.600006pt;margin-top:780.324524pt;width:9pt;height:13.05pt;mso-position-horizontal-relative:page;mso-position-vertical-relative:page;z-index:-484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8pt;margin-top:43.557014pt;width:30.1pt;height:16.05pt;mso-position-horizontal-relative:page;mso-position-vertical-relative:page;z-index:-486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附件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>
      <w:spacing w:before="24"/>
      <w:ind w:left="538"/>
    </w:pPr>
    <w:rPr>
      <w:rFonts w:ascii="標楷體" w:hAnsi="標楷體" w:eastAsia="標楷體" w:cs="標楷體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標楷體" w:hAnsi="標楷體" w:eastAsia="標楷體" w:cs="標楷體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79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eec.edu.t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cstar</dc:creator>
  <dcterms:created xsi:type="dcterms:W3CDTF">2025-08-12T07:28:39Z</dcterms:created>
  <dcterms:modified xsi:type="dcterms:W3CDTF">2025-08-12T07:28:39Z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Acrobat PDFMaker 25 Word 版</vt:lpwstr>
  </property>
  <property fmtid="{D5CDD505-2E9C-101B-9397-08002B2CF9AE}" pid="4" name="LastSaved">
    <vt:filetime>2025-08-12T00:00:00Z</vt:filetime>
  </property>
</Properties>
</file>